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B99" w:rsidRPr="003B15FC" w:rsidRDefault="003B15FC" w:rsidP="003B15FC">
      <w:pPr>
        <w:rPr>
          <w:b/>
        </w:rPr>
      </w:pPr>
      <w:r w:rsidRPr="003B15FC">
        <w:rPr>
          <w:rFonts w:ascii="Calibri" w:eastAsia="SimSun" w:hAnsi="Calibri" w:cs="Times New Roman" w:hint="eastAsia"/>
          <w:b/>
          <w:color w:val="000000" w:themeColor="text1"/>
          <w:kern w:val="0"/>
        </w:rPr>
        <w:t>46</w:t>
      </w:r>
      <w:r w:rsidRPr="003B15FC">
        <w:rPr>
          <w:rFonts w:ascii="Calibri" w:eastAsia="SimSun" w:hAnsi="Calibri" w:cs="Times New Roman"/>
          <w:b/>
          <w:color w:val="000000" w:themeColor="text1"/>
          <w:kern w:val="0"/>
        </w:rPr>
        <w:t>th Ge</w:t>
      </w:r>
      <w:r w:rsidRPr="003B15FC">
        <w:rPr>
          <w:rFonts w:ascii="Calibri" w:eastAsia="SimSun" w:hAnsi="Calibri"/>
          <w:b/>
          <w:color w:val="000000" w:themeColor="text1"/>
          <w:kern w:val="0"/>
        </w:rPr>
        <w:t>neva</w:t>
      </w:r>
      <w:r w:rsidRPr="003B15FC">
        <w:rPr>
          <w:rFonts w:ascii="Calibri" w:eastAsia="SimSun" w:hAnsi="Calibri" w:cs="Times New Roman"/>
          <w:b/>
          <w:color w:val="000000" w:themeColor="text1"/>
          <w:kern w:val="0"/>
        </w:rPr>
        <w:t xml:space="preserve"> International Exhibition of Inventions</w:t>
      </w:r>
    </w:p>
    <w:p w:rsidR="003B15FC" w:rsidRPr="003B15FC" w:rsidRDefault="003B15FC" w:rsidP="003B15FC">
      <w:pPr>
        <w:rPr>
          <w:b/>
        </w:rPr>
      </w:pPr>
      <w:r w:rsidRPr="003B15FC">
        <w:rPr>
          <w:b/>
        </w:rPr>
        <w:t>HKU’s Awarded Inventions</w:t>
      </w:r>
    </w:p>
    <w:p w:rsidR="003B15FC" w:rsidRDefault="003B15FC" w:rsidP="003B15FC"/>
    <w:tbl>
      <w:tblPr>
        <w:tblStyle w:val="a3"/>
        <w:tblW w:w="14001" w:type="dxa"/>
        <w:tblLook w:val="04A0" w:firstRow="1" w:lastRow="0" w:firstColumn="1" w:lastColumn="0" w:noHBand="0" w:noVBand="1"/>
      </w:tblPr>
      <w:tblGrid>
        <w:gridCol w:w="2547"/>
        <w:gridCol w:w="6804"/>
        <w:gridCol w:w="4650"/>
      </w:tblGrid>
      <w:tr w:rsidR="003B15FC" w:rsidTr="00B06F10">
        <w:tc>
          <w:tcPr>
            <w:tcW w:w="2547" w:type="dxa"/>
          </w:tcPr>
          <w:p w:rsidR="003B15FC" w:rsidRDefault="003B15FC" w:rsidP="00B06F10">
            <w:pPr>
              <w:pStyle w:val="Default"/>
              <w:rPr>
                <w:b/>
                <w:bCs/>
                <w:sz w:val="22"/>
                <w:szCs w:val="22"/>
              </w:rPr>
            </w:pPr>
            <w:r>
              <w:rPr>
                <w:rFonts w:hint="eastAsia"/>
                <w:b/>
                <w:bCs/>
                <w:sz w:val="22"/>
                <w:szCs w:val="22"/>
              </w:rPr>
              <w:t>I</w:t>
            </w:r>
            <w:r>
              <w:rPr>
                <w:b/>
                <w:bCs/>
                <w:sz w:val="22"/>
                <w:szCs w:val="22"/>
              </w:rPr>
              <w:t>nventor</w:t>
            </w:r>
          </w:p>
        </w:tc>
        <w:tc>
          <w:tcPr>
            <w:tcW w:w="6804" w:type="dxa"/>
          </w:tcPr>
          <w:p w:rsidR="003B15FC" w:rsidRDefault="003B15FC" w:rsidP="00B06F10">
            <w:pPr>
              <w:pStyle w:val="Default"/>
              <w:rPr>
                <w:b/>
                <w:bCs/>
                <w:sz w:val="22"/>
                <w:szCs w:val="22"/>
              </w:rPr>
            </w:pPr>
            <w:r>
              <w:rPr>
                <w:rFonts w:hint="eastAsia"/>
                <w:b/>
                <w:bCs/>
                <w:sz w:val="22"/>
                <w:szCs w:val="22"/>
              </w:rPr>
              <w:t>I</w:t>
            </w:r>
            <w:r>
              <w:rPr>
                <w:b/>
                <w:bCs/>
                <w:sz w:val="22"/>
                <w:szCs w:val="22"/>
              </w:rPr>
              <w:t>nvention</w:t>
            </w:r>
          </w:p>
        </w:tc>
        <w:tc>
          <w:tcPr>
            <w:tcW w:w="4650" w:type="dxa"/>
          </w:tcPr>
          <w:p w:rsidR="003B15FC" w:rsidRDefault="003B15FC" w:rsidP="00B06F10">
            <w:pPr>
              <w:pStyle w:val="Default"/>
              <w:rPr>
                <w:b/>
                <w:bCs/>
                <w:sz w:val="22"/>
                <w:szCs w:val="22"/>
              </w:rPr>
            </w:pPr>
            <w:r>
              <w:rPr>
                <w:rFonts w:hint="eastAsia"/>
                <w:b/>
                <w:bCs/>
                <w:sz w:val="22"/>
                <w:szCs w:val="22"/>
              </w:rPr>
              <w:t>A</w:t>
            </w:r>
            <w:r>
              <w:rPr>
                <w:b/>
                <w:bCs/>
                <w:sz w:val="22"/>
                <w:szCs w:val="22"/>
              </w:rPr>
              <w:t>wards</w:t>
            </w:r>
          </w:p>
        </w:tc>
      </w:tr>
      <w:tr w:rsidR="003B15FC" w:rsidTr="00B06F10">
        <w:tc>
          <w:tcPr>
            <w:tcW w:w="2547" w:type="dxa"/>
          </w:tcPr>
          <w:p w:rsidR="003B15FC" w:rsidRDefault="003B15FC" w:rsidP="00B06F10">
            <w:pPr>
              <w:pStyle w:val="Default"/>
              <w:rPr>
                <w:b/>
                <w:bCs/>
                <w:sz w:val="22"/>
                <w:szCs w:val="22"/>
              </w:rPr>
            </w:pPr>
            <w:r>
              <w:rPr>
                <w:sz w:val="22"/>
                <w:szCs w:val="22"/>
              </w:rPr>
              <w:t>Professor HUI Shu Yuen, Ron, Department of Electrical and Electronic Engineering</w:t>
            </w:r>
          </w:p>
        </w:tc>
        <w:tc>
          <w:tcPr>
            <w:tcW w:w="6804" w:type="dxa"/>
          </w:tcPr>
          <w:p w:rsidR="003B15FC" w:rsidRDefault="003B15FC" w:rsidP="00B06F10">
            <w:pPr>
              <w:pStyle w:val="Default"/>
              <w:rPr>
                <w:sz w:val="22"/>
                <w:szCs w:val="22"/>
              </w:rPr>
            </w:pPr>
            <w:r>
              <w:rPr>
                <w:sz w:val="22"/>
                <w:szCs w:val="22"/>
              </w:rPr>
              <w:t>Passive LED Power Driver: a Smart and Environmental-Friendly Street Lighting Technology</w:t>
            </w:r>
          </w:p>
          <w:p w:rsidR="003B15FC" w:rsidRDefault="003B15FC" w:rsidP="00B06F10">
            <w:pPr>
              <w:pStyle w:val="Default"/>
              <w:rPr>
                <w:sz w:val="22"/>
                <w:szCs w:val="22"/>
              </w:rPr>
            </w:pPr>
          </w:p>
          <w:p w:rsidR="003B15FC" w:rsidRDefault="003B15FC" w:rsidP="00B06F10">
            <w:pPr>
              <w:pStyle w:val="Default"/>
              <w:rPr>
                <w:sz w:val="22"/>
              </w:rPr>
            </w:pPr>
            <w:r>
              <w:rPr>
                <w:rFonts w:ascii="Arial" w:hAnsi="Arial" w:cs="Arial"/>
                <w:color w:val="333333"/>
                <w:sz w:val="20"/>
                <w:szCs w:val="20"/>
                <w:shd w:val="clear" w:color="auto" w:fill="FFFFFF"/>
              </w:rPr>
              <w:t xml:space="preserve">Passive LED drivers developed under the project were tested in </w:t>
            </w:r>
            <w:r>
              <w:rPr>
                <w:rFonts w:ascii="Arial" w:hAnsi="Arial" w:cs="Arial" w:hint="eastAsia"/>
                <w:color w:val="333333"/>
                <w:sz w:val="20"/>
                <w:szCs w:val="20"/>
                <w:shd w:val="clear" w:color="auto" w:fill="FFFFFF"/>
              </w:rPr>
              <w:t>2015</w:t>
            </w:r>
            <w:r>
              <w:rPr>
                <w:rFonts w:ascii="Arial" w:hAnsi="Arial" w:cs="Arial"/>
                <w:color w:val="333333"/>
                <w:sz w:val="20"/>
                <w:szCs w:val="20"/>
                <w:shd w:val="clear" w:color="auto" w:fill="FFFFFF"/>
              </w:rPr>
              <w:t xml:space="preserve"> in Heshan City, Guangdong in over 100 street lamps. Zero failure rate was recorded for a three-year trial period. This has been the world’s first and only “sustainable LED street lighting system” that meets the three sustainability criteria of high energy efficiency, long product lifetime and recyclability</w:t>
            </w:r>
            <w:r>
              <w:rPr>
                <w:sz w:val="22"/>
              </w:rPr>
              <w:t>. Currently, patent protection for the invention is being sought in 27 countries around the world.</w:t>
            </w:r>
          </w:p>
          <w:p w:rsidR="003B15FC" w:rsidRDefault="003B15FC" w:rsidP="00B06F10">
            <w:pPr>
              <w:pStyle w:val="Default"/>
              <w:rPr>
                <w:sz w:val="22"/>
              </w:rPr>
            </w:pPr>
          </w:p>
          <w:p w:rsidR="0010773C" w:rsidRDefault="0010773C" w:rsidP="00B06F10">
            <w:pPr>
              <w:pStyle w:val="Default"/>
              <w:rPr>
                <w:sz w:val="22"/>
              </w:rPr>
            </w:pPr>
            <w:r>
              <w:rPr>
                <w:sz w:val="22"/>
              </w:rPr>
              <w:t>More Info about the research:</w:t>
            </w:r>
          </w:p>
          <w:p w:rsidR="003B15FC" w:rsidRPr="001604E6" w:rsidRDefault="0010773C" w:rsidP="00B06F10">
            <w:pPr>
              <w:pStyle w:val="Default"/>
              <w:rPr>
                <w:sz w:val="22"/>
                <w:szCs w:val="22"/>
              </w:rPr>
            </w:pPr>
            <w:r w:rsidRPr="0010773C">
              <w:rPr>
                <w:sz w:val="22"/>
                <w:szCs w:val="22"/>
              </w:rPr>
              <w:t>https://www.hku.hk/press/news_detail_17226.html</w:t>
            </w:r>
          </w:p>
        </w:tc>
        <w:tc>
          <w:tcPr>
            <w:tcW w:w="4650" w:type="dxa"/>
          </w:tcPr>
          <w:p w:rsidR="003B15FC" w:rsidRDefault="003B15FC" w:rsidP="003B15FC">
            <w:pPr>
              <w:pStyle w:val="Default"/>
              <w:numPr>
                <w:ilvl w:val="0"/>
                <w:numId w:val="1"/>
              </w:numPr>
              <w:rPr>
                <w:bCs/>
                <w:sz w:val="22"/>
                <w:szCs w:val="22"/>
              </w:rPr>
            </w:pPr>
            <w:r w:rsidRPr="00113B99">
              <w:rPr>
                <w:bCs/>
                <w:sz w:val="22"/>
                <w:szCs w:val="22"/>
              </w:rPr>
              <w:t xml:space="preserve">The Prize of Patent Office Of Cooperation Council for THE ARAB STATES OF THE GULF – GCCPO  </w:t>
            </w:r>
          </w:p>
          <w:p w:rsidR="003B15FC" w:rsidRPr="00113B99" w:rsidRDefault="003B15FC" w:rsidP="003B15FC">
            <w:pPr>
              <w:pStyle w:val="Default"/>
              <w:numPr>
                <w:ilvl w:val="0"/>
                <w:numId w:val="1"/>
              </w:numPr>
              <w:rPr>
                <w:bCs/>
                <w:sz w:val="22"/>
                <w:szCs w:val="22"/>
              </w:rPr>
            </w:pPr>
            <w:r w:rsidRPr="00113B99">
              <w:rPr>
                <w:bCs/>
                <w:sz w:val="22"/>
                <w:szCs w:val="22"/>
              </w:rPr>
              <w:t>Gold Medal with Special Recognition by the International Jury of Experts</w:t>
            </w:r>
          </w:p>
        </w:tc>
      </w:tr>
      <w:tr w:rsidR="003B15FC" w:rsidTr="00B06F10">
        <w:tc>
          <w:tcPr>
            <w:tcW w:w="2547" w:type="dxa"/>
          </w:tcPr>
          <w:p w:rsidR="003B15FC" w:rsidRDefault="003B15FC" w:rsidP="00B06F10">
            <w:pPr>
              <w:pStyle w:val="Default"/>
              <w:rPr>
                <w:sz w:val="22"/>
                <w:szCs w:val="22"/>
              </w:rPr>
            </w:pPr>
            <w:r>
              <w:rPr>
                <w:sz w:val="22"/>
                <w:szCs w:val="22"/>
              </w:rPr>
              <w:t xml:space="preserve">Professor KWONG Yok Lam and Professor KUMANA Cyrus Rustam, Department of Medicine </w:t>
            </w:r>
          </w:p>
          <w:p w:rsidR="003B15FC" w:rsidRDefault="003B15FC" w:rsidP="00B06F10">
            <w:pPr>
              <w:pStyle w:val="Default"/>
              <w:rPr>
                <w:sz w:val="22"/>
                <w:szCs w:val="22"/>
              </w:rPr>
            </w:pPr>
            <w:r>
              <w:rPr>
                <w:sz w:val="22"/>
                <w:szCs w:val="22"/>
              </w:rPr>
              <w:t>Descriptions</w:t>
            </w:r>
          </w:p>
        </w:tc>
        <w:tc>
          <w:tcPr>
            <w:tcW w:w="6804" w:type="dxa"/>
          </w:tcPr>
          <w:p w:rsidR="003B15FC" w:rsidRDefault="003B15FC" w:rsidP="00B06F10">
            <w:pPr>
              <w:pStyle w:val="Default"/>
              <w:rPr>
                <w:sz w:val="22"/>
                <w:szCs w:val="22"/>
              </w:rPr>
            </w:pPr>
            <w:r>
              <w:rPr>
                <w:sz w:val="22"/>
                <w:szCs w:val="22"/>
              </w:rPr>
              <w:t>Arsenol®: The First Oral Formulation of Arsenic Trioxide</w:t>
            </w:r>
          </w:p>
          <w:p w:rsidR="003B15FC" w:rsidRDefault="003B15FC" w:rsidP="00B06F10">
            <w:pPr>
              <w:pStyle w:val="Default"/>
              <w:rPr>
                <w:sz w:val="22"/>
                <w:szCs w:val="22"/>
              </w:rPr>
            </w:pPr>
          </w:p>
          <w:p w:rsidR="003B15FC" w:rsidRDefault="003B15FC" w:rsidP="00B06F10">
            <w:pPr>
              <w:rPr>
                <w:sz w:val="22"/>
              </w:rPr>
            </w:pPr>
            <w:r>
              <w:rPr>
                <w:sz w:val="22"/>
              </w:rPr>
              <w:t xml:space="preserve">Arsenol® is a drug developed entirely in Hong Kong, having a bioactivity similar to the intravenous formulation, but has lower peak plasma arsenic concentrations, hence a lower cardiac toxicity. Arsenol® is also convenient </w:t>
            </w:r>
            <w:r>
              <w:rPr>
                <w:sz w:val="22"/>
              </w:rPr>
              <w:lastRenderedPageBreak/>
              <w:t>and safe for outpatients, rendering long-term therapy feasible and a massive saving in hospitalization cost.</w:t>
            </w:r>
          </w:p>
          <w:p w:rsidR="003B15FC" w:rsidRPr="00113B99" w:rsidRDefault="003B15FC" w:rsidP="00B06F10">
            <w:pPr>
              <w:pStyle w:val="Default"/>
              <w:rPr>
                <w:sz w:val="22"/>
                <w:szCs w:val="22"/>
              </w:rPr>
            </w:pPr>
          </w:p>
        </w:tc>
        <w:tc>
          <w:tcPr>
            <w:tcW w:w="4650" w:type="dxa"/>
          </w:tcPr>
          <w:p w:rsidR="003B15FC" w:rsidRPr="00113B99" w:rsidRDefault="003B15FC" w:rsidP="00B06F10">
            <w:pPr>
              <w:pStyle w:val="Default"/>
              <w:rPr>
                <w:bCs/>
                <w:sz w:val="22"/>
                <w:szCs w:val="22"/>
              </w:rPr>
            </w:pPr>
            <w:r>
              <w:rPr>
                <w:sz w:val="22"/>
                <w:szCs w:val="22"/>
              </w:rPr>
              <w:lastRenderedPageBreak/>
              <w:t>Gold Medal</w:t>
            </w:r>
          </w:p>
        </w:tc>
      </w:tr>
      <w:tr w:rsidR="003B15FC" w:rsidTr="00B06F10">
        <w:tc>
          <w:tcPr>
            <w:tcW w:w="2547" w:type="dxa"/>
          </w:tcPr>
          <w:p w:rsidR="003B15FC" w:rsidRDefault="003B15FC" w:rsidP="00B06F10">
            <w:pPr>
              <w:pStyle w:val="Default"/>
              <w:rPr>
                <w:sz w:val="22"/>
                <w:szCs w:val="22"/>
              </w:rPr>
            </w:pPr>
            <w:r>
              <w:rPr>
                <w:sz w:val="22"/>
                <w:szCs w:val="22"/>
              </w:rPr>
              <w:t>Professor WU Wutian and Mr LAI Hei Ming, School of Biomedical Sciences</w:t>
            </w:r>
          </w:p>
        </w:tc>
        <w:tc>
          <w:tcPr>
            <w:tcW w:w="6804" w:type="dxa"/>
          </w:tcPr>
          <w:p w:rsidR="003B15FC" w:rsidRDefault="003B15FC" w:rsidP="00B06F10">
            <w:pPr>
              <w:pStyle w:val="Default"/>
              <w:rPr>
                <w:sz w:val="22"/>
                <w:szCs w:val="22"/>
              </w:rPr>
            </w:pPr>
            <w:r>
              <w:rPr>
                <w:sz w:val="22"/>
                <w:szCs w:val="22"/>
              </w:rPr>
              <w:t>Development and Applications of Next Generation Histology for 3D Interrogation of Human Brain</w:t>
            </w:r>
          </w:p>
          <w:p w:rsidR="003B15FC" w:rsidRDefault="003B15FC" w:rsidP="00B06F10">
            <w:pPr>
              <w:pStyle w:val="Default"/>
              <w:rPr>
                <w:sz w:val="22"/>
                <w:szCs w:val="22"/>
              </w:rPr>
            </w:pPr>
          </w:p>
          <w:p w:rsidR="003B15FC" w:rsidRDefault="003B15FC" w:rsidP="00B06F10">
            <w:pPr>
              <w:rPr>
                <w:sz w:val="22"/>
              </w:rPr>
            </w:pPr>
            <w:r>
              <w:rPr>
                <w:sz w:val="22"/>
              </w:rPr>
              <w:t>OPTIClear is developed based on the novel concept of using three key components: (1) A lipid-soluble, membrane refractive index (RI) adjusting agent: selectively adjusts the RI of the lipid-rich compartments of the tissue (2) A water-soluble, cytoplasmic refractive index adjusting agent: selectively adjusts the RI of the aqueous compartments of the tissue (3) A physical homogenizing agent: facilitate true homogenization of the above two agents and the tissue components to achieve better optical homogeneity. Light is bent as it passes through the boundary of different transparent media due to their differences in RI, leading to a perceived boundary. Therefore, one should adjust the RI of each medium to a defined value such that they are equal to each other to minimize the bending of light paths, hence no perceived boundary can be seen and the tissue would become transparent.</w:t>
            </w:r>
          </w:p>
          <w:p w:rsidR="003B15FC" w:rsidRDefault="003B15FC" w:rsidP="00B06F10">
            <w:pPr>
              <w:pStyle w:val="Default"/>
              <w:rPr>
                <w:sz w:val="22"/>
                <w:szCs w:val="22"/>
              </w:rPr>
            </w:pPr>
          </w:p>
          <w:p w:rsidR="0010773C" w:rsidRPr="0010773C" w:rsidRDefault="0010773C" w:rsidP="00B06F10">
            <w:pPr>
              <w:pStyle w:val="Default"/>
              <w:rPr>
                <w:sz w:val="22"/>
              </w:rPr>
            </w:pPr>
            <w:r>
              <w:rPr>
                <w:sz w:val="22"/>
              </w:rPr>
              <w:t>More Info about the research:</w:t>
            </w:r>
          </w:p>
          <w:p w:rsidR="0010773C" w:rsidRPr="00261E0A" w:rsidRDefault="0010773C" w:rsidP="00B06F10">
            <w:pPr>
              <w:pStyle w:val="Default"/>
              <w:rPr>
                <w:sz w:val="22"/>
                <w:szCs w:val="22"/>
              </w:rPr>
            </w:pPr>
            <w:r w:rsidRPr="0010773C">
              <w:rPr>
                <w:sz w:val="22"/>
                <w:szCs w:val="22"/>
              </w:rPr>
              <w:t>https://www.hku.hk/press/press-releases/detail/17641.html</w:t>
            </w:r>
          </w:p>
        </w:tc>
        <w:tc>
          <w:tcPr>
            <w:tcW w:w="4650" w:type="dxa"/>
          </w:tcPr>
          <w:p w:rsidR="003B15FC" w:rsidRDefault="003B15FC" w:rsidP="00B06F10">
            <w:pPr>
              <w:pStyle w:val="Default"/>
              <w:rPr>
                <w:sz w:val="22"/>
                <w:szCs w:val="22"/>
              </w:rPr>
            </w:pPr>
            <w:r>
              <w:rPr>
                <w:sz w:val="22"/>
                <w:szCs w:val="22"/>
              </w:rPr>
              <w:t>Gold Medal</w:t>
            </w:r>
          </w:p>
        </w:tc>
      </w:tr>
      <w:tr w:rsidR="003B15FC" w:rsidTr="00B06F10">
        <w:tc>
          <w:tcPr>
            <w:tcW w:w="2547" w:type="dxa"/>
          </w:tcPr>
          <w:p w:rsidR="003B15FC" w:rsidRDefault="003B15FC" w:rsidP="00B06F10">
            <w:pPr>
              <w:pStyle w:val="Default"/>
              <w:rPr>
                <w:sz w:val="22"/>
                <w:szCs w:val="22"/>
              </w:rPr>
            </w:pPr>
            <w:r>
              <w:rPr>
                <w:sz w:val="22"/>
                <w:szCs w:val="22"/>
              </w:rPr>
              <w:lastRenderedPageBreak/>
              <w:t>Professor YEH Garon, Anthony, Dr ZHONG Teng, Dr YUE Yang, Department of Urban Planning &amp; Design</w:t>
            </w:r>
          </w:p>
        </w:tc>
        <w:tc>
          <w:tcPr>
            <w:tcW w:w="6804" w:type="dxa"/>
          </w:tcPr>
          <w:p w:rsidR="003B15FC" w:rsidRPr="00B64E3A" w:rsidRDefault="00B64E3A" w:rsidP="003B15FC">
            <w:pPr>
              <w:pStyle w:val="Default"/>
              <w:rPr>
                <w:sz w:val="22"/>
                <w:szCs w:val="22"/>
              </w:rPr>
            </w:pPr>
            <w:bookmarkStart w:id="0" w:name="_GoBack"/>
            <w:r w:rsidRPr="00B64E3A">
              <w:rPr>
                <w:rFonts w:eastAsia="SimSun"/>
                <w:color w:val="000000" w:themeColor="text1"/>
              </w:rPr>
              <w:t>Angle Difference Method for Vehicle Navigation in Multilevel Road Networks</w:t>
            </w:r>
            <w:bookmarkEnd w:id="0"/>
          </w:p>
        </w:tc>
        <w:tc>
          <w:tcPr>
            <w:tcW w:w="4650" w:type="dxa"/>
          </w:tcPr>
          <w:p w:rsidR="003B15FC" w:rsidRDefault="003B15FC" w:rsidP="00B06F10">
            <w:pPr>
              <w:pStyle w:val="Default"/>
              <w:rPr>
                <w:sz w:val="22"/>
                <w:szCs w:val="22"/>
              </w:rPr>
            </w:pPr>
            <w:r>
              <w:rPr>
                <w:sz w:val="22"/>
                <w:szCs w:val="22"/>
              </w:rPr>
              <w:t>Gold Medal</w:t>
            </w:r>
          </w:p>
        </w:tc>
      </w:tr>
      <w:tr w:rsidR="003B15FC" w:rsidTr="00B06F10">
        <w:tc>
          <w:tcPr>
            <w:tcW w:w="2547" w:type="dxa"/>
          </w:tcPr>
          <w:p w:rsidR="003B15FC" w:rsidRDefault="003B15FC" w:rsidP="00B06F10">
            <w:pPr>
              <w:pStyle w:val="Default"/>
              <w:rPr>
                <w:sz w:val="22"/>
                <w:szCs w:val="22"/>
              </w:rPr>
            </w:pPr>
            <w:r>
              <w:rPr>
                <w:sz w:val="22"/>
                <w:szCs w:val="22"/>
              </w:rPr>
              <w:t>Dr KONG Tiantian, Dr LIU Zhou, LI</w:t>
            </w:r>
            <w:r>
              <w:rPr>
                <w:rFonts w:hint="eastAsia"/>
                <w:sz w:val="22"/>
                <w:szCs w:val="22"/>
              </w:rPr>
              <w:t xml:space="preserve"> </w:t>
            </w:r>
            <w:r w:rsidRPr="003B15FC">
              <w:rPr>
                <w:sz w:val="22"/>
                <w:szCs w:val="22"/>
              </w:rPr>
              <w:t xml:space="preserve">Jingmei, </w:t>
            </w:r>
            <w:r>
              <w:rPr>
                <w:sz w:val="22"/>
                <w:szCs w:val="22"/>
              </w:rPr>
              <w:t xml:space="preserve">Dr SHUM Ho Cheung, Prof WANG Liqiu, Department of Mechanical Engineering </w:t>
            </w:r>
          </w:p>
          <w:p w:rsidR="003B15FC" w:rsidRPr="00261E0A" w:rsidRDefault="003B15FC" w:rsidP="00B06F10">
            <w:pPr>
              <w:pStyle w:val="Default"/>
              <w:rPr>
                <w:sz w:val="22"/>
                <w:szCs w:val="22"/>
              </w:rPr>
            </w:pPr>
          </w:p>
        </w:tc>
        <w:tc>
          <w:tcPr>
            <w:tcW w:w="6804" w:type="dxa"/>
          </w:tcPr>
          <w:p w:rsidR="003B15FC" w:rsidRDefault="003B15FC" w:rsidP="00B06F10">
            <w:pPr>
              <w:pStyle w:val="Default"/>
              <w:rPr>
                <w:sz w:val="22"/>
                <w:szCs w:val="22"/>
              </w:rPr>
            </w:pPr>
            <w:r>
              <w:rPr>
                <w:sz w:val="22"/>
                <w:szCs w:val="22"/>
              </w:rPr>
              <w:t>Efficient and Rapid Mixing of Highly Viscous Fluids</w:t>
            </w:r>
          </w:p>
          <w:p w:rsidR="003B15FC" w:rsidRDefault="003B15FC" w:rsidP="00B06F10">
            <w:pPr>
              <w:pStyle w:val="Default"/>
              <w:rPr>
                <w:sz w:val="22"/>
                <w:szCs w:val="22"/>
              </w:rPr>
            </w:pPr>
          </w:p>
          <w:p w:rsidR="003B15FC" w:rsidRDefault="003B15FC" w:rsidP="00B06F10">
            <w:pPr>
              <w:rPr>
                <w:sz w:val="22"/>
              </w:rPr>
            </w:pPr>
            <w:r>
              <w:rPr>
                <w:sz w:val="22"/>
              </w:rPr>
              <w:t>Mixing of fluids is widely used for making multi-functional materials and triggering chemical and biological reactions. However, mixing of viscous liquids is challenged by the large resistance of deforming liquid interfaces. Here, we introduce an electrical method to deform the interfaces of viscous jets. It can effectively address the challenges in mixing of viscous liquids. Besides, our mixing technique supports a tunable degree of mixing by manipulating the power of applied electricity. Furthermore, this method inspiringly offers a strategy for mixing and dispensing in one step, which is suitable for mixtures that have a short lifetime before dispensing.</w:t>
            </w:r>
          </w:p>
          <w:p w:rsidR="003B15FC" w:rsidRPr="00261E0A" w:rsidRDefault="003B15FC" w:rsidP="00B06F10">
            <w:pPr>
              <w:pStyle w:val="Default"/>
              <w:rPr>
                <w:sz w:val="22"/>
                <w:szCs w:val="22"/>
              </w:rPr>
            </w:pPr>
          </w:p>
        </w:tc>
        <w:tc>
          <w:tcPr>
            <w:tcW w:w="4650" w:type="dxa"/>
          </w:tcPr>
          <w:p w:rsidR="003B15FC" w:rsidRDefault="003B15FC" w:rsidP="00B06F10">
            <w:pPr>
              <w:pStyle w:val="Default"/>
              <w:rPr>
                <w:sz w:val="22"/>
                <w:szCs w:val="22"/>
              </w:rPr>
            </w:pPr>
            <w:r>
              <w:rPr>
                <w:sz w:val="22"/>
                <w:szCs w:val="22"/>
              </w:rPr>
              <w:t>Silver Medal</w:t>
            </w:r>
          </w:p>
        </w:tc>
      </w:tr>
      <w:tr w:rsidR="003B15FC" w:rsidTr="00B06F10">
        <w:tc>
          <w:tcPr>
            <w:tcW w:w="2547" w:type="dxa"/>
          </w:tcPr>
          <w:p w:rsidR="003B15FC" w:rsidRDefault="003B15FC" w:rsidP="00B06F10">
            <w:pPr>
              <w:pStyle w:val="Default"/>
              <w:rPr>
                <w:sz w:val="22"/>
                <w:szCs w:val="22"/>
              </w:rPr>
            </w:pPr>
            <w:r>
              <w:rPr>
                <w:sz w:val="22"/>
                <w:szCs w:val="22"/>
              </w:rPr>
              <w:t xml:space="preserve">Mr KULPER Sloan Austin, Professor LU Weijia, William, Dr FANG Xinshuo, Christian, </w:t>
            </w:r>
            <w:r>
              <w:rPr>
                <w:sz w:val="22"/>
                <w:szCs w:val="22"/>
              </w:rPr>
              <w:lastRenderedPageBreak/>
              <w:t>Department of Orthopaedics and Traumatology</w:t>
            </w:r>
          </w:p>
        </w:tc>
        <w:tc>
          <w:tcPr>
            <w:tcW w:w="6804" w:type="dxa"/>
          </w:tcPr>
          <w:p w:rsidR="003B15FC" w:rsidRDefault="003B15FC" w:rsidP="00B06F10">
            <w:pPr>
              <w:pStyle w:val="Default"/>
              <w:rPr>
                <w:sz w:val="22"/>
                <w:szCs w:val="22"/>
              </w:rPr>
            </w:pPr>
            <w:r>
              <w:rPr>
                <w:sz w:val="22"/>
                <w:szCs w:val="22"/>
              </w:rPr>
              <w:lastRenderedPageBreak/>
              <w:t>Anti-penetration Bone Implant Device and Method</w:t>
            </w:r>
          </w:p>
          <w:p w:rsidR="003B15FC" w:rsidRDefault="003B15FC" w:rsidP="00B06F10">
            <w:pPr>
              <w:pStyle w:val="Default"/>
              <w:rPr>
                <w:sz w:val="22"/>
                <w:szCs w:val="22"/>
              </w:rPr>
            </w:pPr>
          </w:p>
          <w:p w:rsidR="003B15FC" w:rsidRDefault="003B15FC" w:rsidP="00B06F10">
            <w:pPr>
              <w:rPr>
                <w:sz w:val="22"/>
              </w:rPr>
            </w:pPr>
            <w:r>
              <w:rPr>
                <w:sz w:val="22"/>
              </w:rPr>
              <w:t xml:space="preserve">It is a device for reducing the stress in bone tissue by an implant which includes an expandable tip that increases the contact area between the </w:t>
            </w:r>
            <w:r>
              <w:rPr>
                <w:sz w:val="22"/>
              </w:rPr>
              <w:lastRenderedPageBreak/>
              <w:t>bone tissue and the implant.</w:t>
            </w:r>
          </w:p>
          <w:p w:rsidR="003B15FC" w:rsidRPr="00261E0A" w:rsidRDefault="003B15FC" w:rsidP="00B06F10">
            <w:pPr>
              <w:pStyle w:val="Default"/>
              <w:rPr>
                <w:sz w:val="22"/>
                <w:szCs w:val="22"/>
              </w:rPr>
            </w:pPr>
          </w:p>
        </w:tc>
        <w:tc>
          <w:tcPr>
            <w:tcW w:w="4650" w:type="dxa"/>
          </w:tcPr>
          <w:p w:rsidR="003B15FC" w:rsidRDefault="003B15FC" w:rsidP="00B06F10">
            <w:pPr>
              <w:pStyle w:val="Default"/>
              <w:rPr>
                <w:sz w:val="22"/>
                <w:szCs w:val="22"/>
              </w:rPr>
            </w:pPr>
            <w:r>
              <w:rPr>
                <w:sz w:val="22"/>
                <w:szCs w:val="22"/>
              </w:rPr>
              <w:lastRenderedPageBreak/>
              <w:t>Silver Medal</w:t>
            </w:r>
          </w:p>
        </w:tc>
      </w:tr>
      <w:tr w:rsidR="003B15FC" w:rsidTr="00B06F10">
        <w:tc>
          <w:tcPr>
            <w:tcW w:w="2547" w:type="dxa"/>
          </w:tcPr>
          <w:p w:rsidR="003B15FC" w:rsidRDefault="003B15FC" w:rsidP="00B06F10">
            <w:pPr>
              <w:pStyle w:val="Default"/>
              <w:rPr>
                <w:sz w:val="22"/>
                <w:szCs w:val="22"/>
              </w:rPr>
            </w:pPr>
            <w:r>
              <w:rPr>
                <w:sz w:val="22"/>
                <w:szCs w:val="22"/>
              </w:rPr>
              <w:t>Dr Li Xuechen, Department of Chemistry</w:t>
            </w:r>
          </w:p>
        </w:tc>
        <w:tc>
          <w:tcPr>
            <w:tcW w:w="6804" w:type="dxa"/>
          </w:tcPr>
          <w:p w:rsidR="003B15FC" w:rsidRDefault="003B15FC" w:rsidP="00B06F10">
            <w:pPr>
              <w:pStyle w:val="Default"/>
              <w:rPr>
                <w:sz w:val="22"/>
                <w:szCs w:val="22"/>
              </w:rPr>
            </w:pPr>
            <w:r>
              <w:rPr>
                <w:sz w:val="22"/>
                <w:szCs w:val="22"/>
              </w:rPr>
              <w:t>Development of Next-Generation Antibacterial Drugs</w:t>
            </w:r>
          </w:p>
          <w:p w:rsidR="003B15FC" w:rsidRDefault="003B15FC" w:rsidP="00B06F10">
            <w:pPr>
              <w:pStyle w:val="Default"/>
              <w:rPr>
                <w:sz w:val="22"/>
                <w:szCs w:val="22"/>
              </w:rPr>
            </w:pPr>
          </w:p>
          <w:p w:rsidR="003B15FC" w:rsidRDefault="003B15FC" w:rsidP="00B06F10">
            <w:pPr>
              <w:rPr>
                <w:sz w:val="22"/>
              </w:rPr>
            </w:pPr>
            <w:r>
              <w:rPr>
                <w:sz w:val="22"/>
              </w:rPr>
              <w:t>Daptomycin is used in the treatment infections caused by Gram-positive organisms. Total chemical synthesis over biosynthesis of Daptomycin achieved by the HKU researchers allows making of new Daptomycin analogs that fight against resistance strain much easier.</w:t>
            </w:r>
          </w:p>
          <w:p w:rsidR="00731473" w:rsidRDefault="00731473" w:rsidP="00B06F10">
            <w:pPr>
              <w:rPr>
                <w:sz w:val="22"/>
              </w:rPr>
            </w:pPr>
          </w:p>
          <w:p w:rsidR="0010773C" w:rsidRPr="00731473" w:rsidRDefault="0010773C" w:rsidP="00731473">
            <w:pPr>
              <w:pStyle w:val="Default"/>
              <w:rPr>
                <w:sz w:val="22"/>
              </w:rPr>
            </w:pPr>
            <w:r>
              <w:rPr>
                <w:sz w:val="22"/>
              </w:rPr>
              <w:t>More Info about the research:</w:t>
            </w:r>
          </w:p>
          <w:p w:rsidR="003B15FC" w:rsidRPr="00261E0A" w:rsidRDefault="0010773C" w:rsidP="00B06F10">
            <w:pPr>
              <w:pStyle w:val="Default"/>
              <w:rPr>
                <w:sz w:val="22"/>
                <w:szCs w:val="22"/>
              </w:rPr>
            </w:pPr>
            <w:r w:rsidRPr="0010773C">
              <w:rPr>
                <w:sz w:val="22"/>
                <w:szCs w:val="22"/>
              </w:rPr>
              <w:t>https://www.hku.hk/press/press-releases/detail/17235.html</w:t>
            </w:r>
          </w:p>
        </w:tc>
        <w:tc>
          <w:tcPr>
            <w:tcW w:w="4650" w:type="dxa"/>
          </w:tcPr>
          <w:p w:rsidR="003B15FC" w:rsidRDefault="003B15FC" w:rsidP="00B06F10">
            <w:pPr>
              <w:pStyle w:val="Default"/>
              <w:rPr>
                <w:sz w:val="22"/>
                <w:szCs w:val="22"/>
              </w:rPr>
            </w:pPr>
            <w:r>
              <w:rPr>
                <w:sz w:val="22"/>
                <w:szCs w:val="22"/>
              </w:rPr>
              <w:t>Silver Medal</w:t>
            </w:r>
          </w:p>
        </w:tc>
      </w:tr>
    </w:tbl>
    <w:p w:rsidR="003B15FC" w:rsidRDefault="003B15FC" w:rsidP="003B15FC">
      <w:pPr>
        <w:pStyle w:val="Default"/>
        <w:rPr>
          <w:b/>
          <w:bCs/>
          <w:sz w:val="22"/>
          <w:szCs w:val="22"/>
        </w:rPr>
      </w:pPr>
    </w:p>
    <w:p w:rsidR="003B15FC" w:rsidRDefault="003B15FC" w:rsidP="003B15FC"/>
    <w:p w:rsidR="003B15FC" w:rsidRPr="003B15FC" w:rsidRDefault="003B15FC" w:rsidP="003B15FC"/>
    <w:sectPr w:rsidR="003B15FC" w:rsidRPr="003B15FC" w:rsidSect="00113B9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50" w:rsidRDefault="00F37D50" w:rsidP="001604E6">
      <w:r>
        <w:separator/>
      </w:r>
    </w:p>
  </w:endnote>
  <w:endnote w:type="continuationSeparator" w:id="0">
    <w:p w:rsidR="00F37D50" w:rsidRDefault="00F37D50" w:rsidP="0016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50" w:rsidRDefault="00F37D50" w:rsidP="001604E6">
      <w:r>
        <w:separator/>
      </w:r>
    </w:p>
  </w:footnote>
  <w:footnote w:type="continuationSeparator" w:id="0">
    <w:p w:rsidR="00F37D50" w:rsidRDefault="00F37D50" w:rsidP="0016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84F5B"/>
    <w:multiLevelType w:val="hybridMultilevel"/>
    <w:tmpl w:val="7AC441FE"/>
    <w:lvl w:ilvl="0" w:tplc="A33EEA4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99"/>
    <w:rsid w:val="0010773C"/>
    <w:rsid w:val="00113B99"/>
    <w:rsid w:val="001604E6"/>
    <w:rsid w:val="00261E0A"/>
    <w:rsid w:val="003B15FC"/>
    <w:rsid w:val="004877F5"/>
    <w:rsid w:val="00731473"/>
    <w:rsid w:val="00733D28"/>
    <w:rsid w:val="00743AE5"/>
    <w:rsid w:val="007B5C63"/>
    <w:rsid w:val="00873E95"/>
    <w:rsid w:val="00B64E3A"/>
    <w:rsid w:val="00E80B0E"/>
    <w:rsid w:val="00F3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23911-4BC5-4843-93DC-B20DCF24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3B99"/>
    <w:pPr>
      <w:widowControl w:val="0"/>
      <w:autoSpaceDE w:val="0"/>
      <w:autoSpaceDN w:val="0"/>
      <w:adjustRightInd w:val="0"/>
    </w:pPr>
    <w:rPr>
      <w:rFonts w:ascii="Calibri" w:hAnsi="Calibri" w:cs="Calibri"/>
      <w:color w:val="000000"/>
      <w:kern w:val="0"/>
      <w:szCs w:val="24"/>
    </w:rPr>
  </w:style>
  <w:style w:type="table" w:styleId="a3">
    <w:name w:val="Table Grid"/>
    <w:basedOn w:val="a1"/>
    <w:uiPriority w:val="39"/>
    <w:rsid w:val="0011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4E6"/>
    <w:pPr>
      <w:tabs>
        <w:tab w:val="center" w:pos="4153"/>
        <w:tab w:val="right" w:pos="8306"/>
      </w:tabs>
      <w:snapToGrid w:val="0"/>
    </w:pPr>
    <w:rPr>
      <w:sz w:val="20"/>
      <w:szCs w:val="20"/>
    </w:rPr>
  </w:style>
  <w:style w:type="character" w:customStyle="1" w:styleId="a5">
    <w:name w:val="頁首 字元"/>
    <w:basedOn w:val="a0"/>
    <w:link w:val="a4"/>
    <w:uiPriority w:val="99"/>
    <w:rsid w:val="001604E6"/>
    <w:rPr>
      <w:sz w:val="20"/>
      <w:szCs w:val="20"/>
    </w:rPr>
  </w:style>
  <w:style w:type="paragraph" w:styleId="a6">
    <w:name w:val="footer"/>
    <w:basedOn w:val="a"/>
    <w:link w:val="a7"/>
    <w:uiPriority w:val="99"/>
    <w:unhideWhenUsed/>
    <w:rsid w:val="001604E6"/>
    <w:pPr>
      <w:tabs>
        <w:tab w:val="center" w:pos="4153"/>
        <w:tab w:val="right" w:pos="8306"/>
      </w:tabs>
      <w:snapToGrid w:val="0"/>
    </w:pPr>
    <w:rPr>
      <w:sz w:val="20"/>
      <w:szCs w:val="20"/>
    </w:rPr>
  </w:style>
  <w:style w:type="character" w:customStyle="1" w:styleId="a7">
    <w:name w:val="頁尾 字元"/>
    <w:basedOn w:val="a0"/>
    <w:link w:val="a6"/>
    <w:uiPriority w:val="99"/>
    <w:rsid w:val="001604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BDE0-2EC2-45D0-8ED2-F657D8C2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Chu</dc:creator>
  <cp:keywords/>
  <dc:description/>
  <cp:lastModifiedBy>Melanie Wan</cp:lastModifiedBy>
  <cp:revision>5</cp:revision>
  <dcterms:created xsi:type="dcterms:W3CDTF">2018-04-30T02:30:00Z</dcterms:created>
  <dcterms:modified xsi:type="dcterms:W3CDTF">2018-05-02T02:04:00Z</dcterms:modified>
</cp:coreProperties>
</file>